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C6ED5" w14:textId="77777777" w:rsidR="00520B72" w:rsidRPr="00923060" w:rsidRDefault="00520B72" w:rsidP="00520B72">
      <w:pPr>
        <w:jc w:val="center"/>
        <w:rPr>
          <w:rFonts w:ascii="Arial" w:hAnsi="Arial" w:cs="Arial"/>
          <w:b/>
          <w:bCs/>
          <w:sz w:val="24"/>
          <w:lang w:val="ro-RO"/>
        </w:rPr>
      </w:pPr>
      <w:r w:rsidRPr="00923060">
        <w:rPr>
          <w:rFonts w:ascii="Arial" w:hAnsi="Arial" w:cs="Arial"/>
          <w:b/>
          <w:bCs/>
          <w:sz w:val="24"/>
          <w:lang w:val="ro-RO"/>
        </w:rPr>
        <w:t xml:space="preserve">Domenii neeligibile Plan afaceri </w:t>
      </w:r>
    </w:p>
    <w:p w14:paraId="5394CE2D" w14:textId="77777777" w:rsidR="00520B72" w:rsidRPr="00923060" w:rsidRDefault="00520B72" w:rsidP="00520B72">
      <w:pPr>
        <w:jc w:val="center"/>
        <w:rPr>
          <w:rFonts w:ascii="Arial" w:hAnsi="Arial" w:cs="Arial"/>
          <w:b/>
          <w:bCs/>
          <w:sz w:val="24"/>
          <w:lang w:val="ro-RO"/>
        </w:rPr>
      </w:pPr>
      <w:r w:rsidRPr="00923060">
        <w:rPr>
          <w:rFonts w:ascii="Arial" w:hAnsi="Arial" w:cs="Arial"/>
          <w:b/>
          <w:bCs/>
          <w:sz w:val="24"/>
          <w:lang w:val="ro-RO"/>
        </w:rPr>
        <w:t xml:space="preserve">– </w:t>
      </w:r>
      <w:proofErr w:type="spellStart"/>
      <w:r w:rsidRPr="00923060">
        <w:rPr>
          <w:rFonts w:ascii="Arial" w:hAnsi="Arial" w:cs="Arial"/>
          <w:b/>
          <w:bCs/>
          <w:sz w:val="24"/>
          <w:lang w:val="ro-RO"/>
        </w:rPr>
        <w:t>infiintare</w:t>
      </w:r>
      <w:proofErr w:type="spellEnd"/>
      <w:r w:rsidRPr="00923060">
        <w:rPr>
          <w:rFonts w:ascii="Arial" w:hAnsi="Arial" w:cs="Arial"/>
          <w:b/>
          <w:bCs/>
          <w:sz w:val="24"/>
          <w:lang w:val="ro-RO"/>
        </w:rPr>
        <w:t xml:space="preserve"> Structura de economie sociala</w:t>
      </w:r>
    </w:p>
    <w:p w14:paraId="0EB6644D" w14:textId="77777777" w:rsidR="00520B72" w:rsidRPr="00923060" w:rsidRDefault="00520B72" w:rsidP="00520B72">
      <w:pPr>
        <w:jc w:val="center"/>
        <w:rPr>
          <w:rFonts w:ascii="Arial" w:hAnsi="Arial" w:cs="Arial"/>
          <w:b/>
          <w:bCs/>
          <w:sz w:val="24"/>
          <w:lang w:val="ro-RO"/>
        </w:rPr>
      </w:pPr>
    </w:p>
    <w:p w14:paraId="06328A2F" w14:textId="77777777" w:rsidR="00520B72" w:rsidRPr="00923060" w:rsidRDefault="00520B72" w:rsidP="00520B72">
      <w:pPr>
        <w:rPr>
          <w:rFonts w:ascii="Arial" w:hAnsi="Arial" w:cs="Arial"/>
          <w:b/>
          <w:bCs/>
          <w:sz w:val="24"/>
          <w:lang w:val="ro-RO"/>
        </w:rPr>
      </w:pPr>
      <w:r w:rsidRPr="00923060">
        <w:rPr>
          <w:rFonts w:ascii="Arial" w:hAnsi="Arial" w:cs="Arial"/>
          <w:b/>
          <w:bCs/>
          <w:sz w:val="24"/>
          <w:lang w:val="ro-RO"/>
        </w:rPr>
        <w:t xml:space="preserve">In principiu sunt eligibile majoritatea domeniilor/codurilor CAEN, </w:t>
      </w:r>
      <w:r w:rsidRPr="00923060">
        <w:rPr>
          <w:rFonts w:ascii="Arial" w:hAnsi="Arial" w:cs="Arial"/>
          <w:b/>
          <w:bCs/>
          <w:sz w:val="24"/>
          <w:u w:val="single"/>
          <w:lang w:val="ro-RO"/>
        </w:rPr>
        <w:t xml:space="preserve">cu </w:t>
      </w:r>
      <w:proofErr w:type="spellStart"/>
      <w:r w:rsidRPr="00923060">
        <w:rPr>
          <w:rFonts w:ascii="Arial" w:hAnsi="Arial" w:cs="Arial"/>
          <w:b/>
          <w:bCs/>
          <w:sz w:val="24"/>
          <w:u w:val="single"/>
          <w:lang w:val="ro-RO"/>
        </w:rPr>
        <w:t>exceptia</w:t>
      </w:r>
      <w:proofErr w:type="spellEnd"/>
      <w:r w:rsidRPr="00923060">
        <w:rPr>
          <w:rFonts w:ascii="Arial" w:hAnsi="Arial" w:cs="Arial"/>
          <w:b/>
          <w:bCs/>
          <w:sz w:val="24"/>
          <w:u w:val="single"/>
          <w:lang w:val="ro-RO"/>
        </w:rPr>
        <w:t xml:space="preserve"> </w:t>
      </w:r>
      <w:proofErr w:type="spellStart"/>
      <w:r w:rsidRPr="00923060">
        <w:rPr>
          <w:rFonts w:ascii="Arial" w:hAnsi="Arial" w:cs="Arial"/>
          <w:b/>
          <w:bCs/>
          <w:sz w:val="24"/>
          <w:u w:val="single"/>
          <w:lang w:val="ro-RO"/>
        </w:rPr>
        <w:t>urmatoarelor</w:t>
      </w:r>
      <w:proofErr w:type="spellEnd"/>
      <w:r w:rsidRPr="00923060">
        <w:rPr>
          <w:rFonts w:ascii="Arial" w:hAnsi="Arial" w:cs="Arial"/>
          <w:b/>
          <w:bCs/>
          <w:sz w:val="24"/>
          <w:u w:val="single"/>
          <w:lang w:val="ro-RO"/>
        </w:rPr>
        <w:t xml:space="preserve"> domenii:</w:t>
      </w:r>
      <w:r w:rsidRPr="00923060">
        <w:rPr>
          <w:rFonts w:ascii="Arial" w:hAnsi="Arial" w:cs="Arial"/>
          <w:b/>
          <w:bCs/>
          <w:sz w:val="24"/>
          <w:lang w:val="ro-RO"/>
        </w:rPr>
        <w:t xml:space="preserve"> </w:t>
      </w:r>
    </w:p>
    <w:p w14:paraId="5BEBE6FE" w14:textId="77777777" w:rsidR="00520B72" w:rsidRPr="00923060" w:rsidRDefault="00520B72" w:rsidP="00520B72">
      <w:pPr>
        <w:rPr>
          <w:rFonts w:ascii="Arial" w:hAnsi="Arial" w:cs="Arial"/>
          <w:b/>
          <w:bCs/>
          <w:i/>
          <w:iCs/>
          <w:u w:val="single"/>
          <w:lang w:val="ro-RO"/>
        </w:rPr>
      </w:pPr>
      <w:r w:rsidRPr="00923060">
        <w:rPr>
          <w:rFonts w:ascii="Arial" w:hAnsi="Arial" w:cs="Arial"/>
          <w:b/>
          <w:bCs/>
          <w:i/>
          <w:iCs/>
          <w:u w:val="single"/>
          <w:lang w:val="ro-RO"/>
        </w:rPr>
        <w:t xml:space="preserve">Schema de ajutor de </w:t>
      </w:r>
      <w:proofErr w:type="spellStart"/>
      <w:r w:rsidRPr="00923060">
        <w:rPr>
          <w:rFonts w:ascii="Arial" w:hAnsi="Arial" w:cs="Arial"/>
          <w:b/>
          <w:bCs/>
          <w:i/>
          <w:iCs/>
          <w:u w:val="single"/>
          <w:lang w:val="ro-RO"/>
        </w:rPr>
        <w:t>minimis</w:t>
      </w:r>
      <w:proofErr w:type="spellEnd"/>
      <w:r w:rsidRPr="00923060">
        <w:rPr>
          <w:rFonts w:ascii="Arial" w:hAnsi="Arial" w:cs="Arial"/>
          <w:b/>
          <w:bCs/>
          <w:i/>
          <w:iCs/>
          <w:u w:val="single"/>
          <w:lang w:val="ro-RO"/>
        </w:rPr>
        <w:t xml:space="preserve"> nu se aplică și nu se acordă:</w:t>
      </w:r>
    </w:p>
    <w:p w14:paraId="040987C7" w14:textId="77777777" w:rsidR="00520B72" w:rsidRPr="00923060" w:rsidRDefault="00520B72" w:rsidP="00520B72">
      <w:pPr>
        <w:rPr>
          <w:rFonts w:ascii="Arial" w:hAnsi="Arial" w:cs="Arial"/>
          <w:b/>
          <w:bCs/>
          <w:i/>
          <w:iCs/>
          <w:lang w:val="ro-RO"/>
        </w:rPr>
      </w:pPr>
      <w:r w:rsidRPr="00923060">
        <w:rPr>
          <w:rFonts w:ascii="Arial" w:hAnsi="Arial" w:cs="Arial"/>
          <w:b/>
          <w:bCs/>
          <w:i/>
          <w:iCs/>
          <w:lang w:val="ro-RO"/>
        </w:rPr>
        <w:t>a) ajutoarelor acordate întreprinderilor care își desfășoară activitatea în sectoarele pescuitului și acvaculturii, reglementate de Regulamentul (CE) nr. 1379/2013 al Parlamentului European și al Consiliului din 11 decembrie 2013 privind organizarea comună a piețelor în sectorul produselor pescărești și de acvacultură, de modificare a Regulamentelor (CE) nr. 1184/2006 și (CE) nr. 1224/2009 ale Consiliului și de abrogare a Regulamentului (CE) nr. 104/2000 al Consiliului;</w:t>
      </w:r>
    </w:p>
    <w:p w14:paraId="7CAA872D" w14:textId="77777777" w:rsidR="00520B72" w:rsidRPr="00923060" w:rsidRDefault="00520B72" w:rsidP="00520B72">
      <w:pPr>
        <w:rPr>
          <w:rFonts w:ascii="Arial" w:hAnsi="Arial" w:cs="Arial"/>
          <w:b/>
          <w:bCs/>
          <w:i/>
          <w:iCs/>
          <w:lang w:val="ro-RO"/>
        </w:rPr>
      </w:pPr>
      <w:r w:rsidRPr="00923060">
        <w:rPr>
          <w:rFonts w:ascii="Arial" w:hAnsi="Arial" w:cs="Arial"/>
          <w:b/>
          <w:bCs/>
          <w:i/>
          <w:iCs/>
          <w:lang w:val="ro-RO"/>
        </w:rPr>
        <w:t>b) întreprinderilor care își desfășoară activitatea în domeniul producției primare de produse agricole, astfel cum sunt enumerate în Anexa 1 a Tratatului CE;</w:t>
      </w:r>
    </w:p>
    <w:p w14:paraId="3510B7CB" w14:textId="77777777" w:rsidR="00520B72" w:rsidRPr="00923060" w:rsidRDefault="00520B72" w:rsidP="00520B72">
      <w:pPr>
        <w:rPr>
          <w:rFonts w:ascii="Arial" w:hAnsi="Arial" w:cs="Arial"/>
          <w:b/>
          <w:bCs/>
          <w:i/>
          <w:iCs/>
          <w:lang w:val="ro-RO"/>
        </w:rPr>
      </w:pPr>
      <w:r w:rsidRPr="00923060">
        <w:rPr>
          <w:rFonts w:ascii="Arial" w:hAnsi="Arial" w:cs="Arial"/>
          <w:b/>
          <w:bCs/>
          <w:i/>
          <w:iCs/>
          <w:lang w:val="ro-RO"/>
        </w:rPr>
        <w:t>c) întreprinderilor care-și desfășoară activitatea în sectorul transformării și comercializării produselor agricole, prevăzute în Anexa nr. 1 a Tratatului CE, în următoarele cazuri:</w:t>
      </w:r>
    </w:p>
    <w:p w14:paraId="5D67B6B1" w14:textId="77777777" w:rsidR="00520B72" w:rsidRPr="00923060" w:rsidRDefault="00520B72" w:rsidP="00520B72">
      <w:pPr>
        <w:rPr>
          <w:rFonts w:ascii="Arial" w:hAnsi="Arial" w:cs="Arial"/>
          <w:b/>
          <w:bCs/>
          <w:i/>
          <w:iCs/>
          <w:lang w:val="ro-RO"/>
        </w:rPr>
      </w:pPr>
      <w:r w:rsidRPr="00923060">
        <w:rPr>
          <w:rFonts w:ascii="Arial" w:hAnsi="Arial" w:cs="Arial"/>
          <w:b/>
          <w:bCs/>
          <w:i/>
          <w:iCs/>
          <w:lang w:val="ro-RO"/>
        </w:rPr>
        <w:t xml:space="preserve">-atunci când valoarea ajutorului este stabilită pe baza prețului sau a cantității produselor în cauză achiziționate de la producătorii primari sau introduse pe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piaţă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de întreprinderile în cauză;</w:t>
      </w:r>
    </w:p>
    <w:p w14:paraId="6ED89D3C" w14:textId="77777777" w:rsidR="00520B72" w:rsidRPr="00923060" w:rsidRDefault="00520B72" w:rsidP="00520B72">
      <w:pPr>
        <w:rPr>
          <w:rFonts w:ascii="Arial" w:hAnsi="Arial" w:cs="Arial"/>
          <w:b/>
          <w:bCs/>
          <w:i/>
          <w:iCs/>
          <w:lang w:val="ro-RO"/>
        </w:rPr>
      </w:pPr>
      <w:r w:rsidRPr="00923060">
        <w:rPr>
          <w:rFonts w:ascii="Arial" w:hAnsi="Arial" w:cs="Arial"/>
          <w:b/>
          <w:bCs/>
          <w:i/>
          <w:iCs/>
          <w:lang w:val="ro-RO"/>
        </w:rPr>
        <w:t xml:space="preserve">-atunci când ajutorul este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condiţionat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de transferarea lui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parţială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sau integral către producători primari.</w:t>
      </w:r>
    </w:p>
    <w:p w14:paraId="0714E715" w14:textId="77777777" w:rsidR="00520B72" w:rsidRPr="00923060" w:rsidRDefault="00520B72" w:rsidP="00520B72">
      <w:pPr>
        <w:rPr>
          <w:rFonts w:ascii="Arial" w:hAnsi="Arial" w:cs="Arial"/>
          <w:b/>
          <w:bCs/>
          <w:i/>
          <w:iCs/>
          <w:lang w:val="ro-RO"/>
        </w:rPr>
      </w:pPr>
      <w:r w:rsidRPr="00923060">
        <w:rPr>
          <w:rFonts w:ascii="Arial" w:hAnsi="Arial" w:cs="Arial"/>
          <w:b/>
          <w:bCs/>
          <w:i/>
          <w:iCs/>
          <w:lang w:val="ro-RO"/>
        </w:rPr>
        <w:t xml:space="preserve">d) pentru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activităţile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legate de export către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ţări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terţe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sau către state membre, respectiv ajutoarele legate direct de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cantităţile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exportate, ajutoarele destinate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înfiinţării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şi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funcţionării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unei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reţele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de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distribuţie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sau destinate altor cheltuieli curente legate de activitatea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deexport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>;</w:t>
      </w:r>
    </w:p>
    <w:p w14:paraId="47F1D3D7" w14:textId="77777777" w:rsidR="00520B72" w:rsidRPr="00923060" w:rsidRDefault="00520B72" w:rsidP="00520B72">
      <w:pPr>
        <w:rPr>
          <w:rFonts w:ascii="Arial" w:hAnsi="Arial" w:cs="Arial"/>
          <w:b/>
          <w:bCs/>
          <w:i/>
          <w:iCs/>
          <w:lang w:val="ro-RO"/>
        </w:rPr>
      </w:pPr>
      <w:r w:rsidRPr="00923060">
        <w:rPr>
          <w:rFonts w:ascii="Arial" w:hAnsi="Arial" w:cs="Arial"/>
          <w:b/>
          <w:bCs/>
          <w:i/>
          <w:iCs/>
          <w:lang w:val="ro-RO"/>
        </w:rPr>
        <w:t xml:space="preserve">e) pentru activitățile condiționate de utilizarea preferențială a produselor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naţionale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față de cele importate;</w:t>
      </w:r>
    </w:p>
    <w:p w14:paraId="2358B653" w14:textId="77777777" w:rsidR="00520B72" w:rsidRPr="00923060" w:rsidRDefault="00520B72" w:rsidP="00520B72">
      <w:pPr>
        <w:rPr>
          <w:rFonts w:ascii="Arial" w:hAnsi="Arial" w:cs="Arial"/>
          <w:b/>
          <w:bCs/>
          <w:i/>
          <w:iCs/>
          <w:lang w:val="ro-RO"/>
        </w:rPr>
      </w:pPr>
      <w:r w:rsidRPr="00923060">
        <w:rPr>
          <w:rFonts w:ascii="Arial" w:hAnsi="Arial" w:cs="Arial"/>
          <w:b/>
          <w:bCs/>
          <w:i/>
          <w:iCs/>
          <w:lang w:val="ro-RO"/>
        </w:rPr>
        <w:t xml:space="preserve">f) pentru activitățile pentru </w:t>
      </w:r>
      <w:proofErr w:type="spellStart"/>
      <w:r w:rsidRPr="00923060">
        <w:rPr>
          <w:rFonts w:ascii="Arial" w:hAnsi="Arial" w:cs="Arial"/>
          <w:b/>
          <w:bCs/>
          <w:i/>
          <w:iCs/>
          <w:lang w:val="ro-RO"/>
        </w:rPr>
        <w:t>achiziţia</w:t>
      </w:r>
      <w:proofErr w:type="spellEnd"/>
      <w:r w:rsidRPr="00923060">
        <w:rPr>
          <w:rFonts w:ascii="Arial" w:hAnsi="Arial" w:cs="Arial"/>
          <w:b/>
          <w:bCs/>
          <w:i/>
          <w:iCs/>
          <w:lang w:val="ro-RO"/>
        </w:rPr>
        <w:t xml:space="preserve"> de vehicule de transport rutier de mărfuri.</w:t>
      </w:r>
    </w:p>
    <w:p w14:paraId="45E1D8D6" w14:textId="72A72B83" w:rsidR="0090058F" w:rsidRPr="00520B72" w:rsidRDefault="00520B72" w:rsidP="00520B72">
      <w:r w:rsidRPr="00923060">
        <w:rPr>
          <w:rFonts w:ascii="Arial" w:hAnsi="Arial" w:cs="Arial"/>
          <w:b/>
          <w:bCs/>
          <w:i/>
          <w:iCs/>
          <w:u w:val="single"/>
          <w:lang w:val="ro-RO"/>
        </w:rPr>
        <w:t xml:space="preserve">Prin urmare, domeniile de activitate ale întreprinderilor sociale nou </w:t>
      </w:r>
      <w:proofErr w:type="spellStart"/>
      <w:r w:rsidRPr="00923060">
        <w:rPr>
          <w:rFonts w:ascii="Arial" w:hAnsi="Arial" w:cs="Arial"/>
          <w:b/>
          <w:bCs/>
          <w:i/>
          <w:iCs/>
          <w:u w:val="single"/>
          <w:lang w:val="ro-RO"/>
        </w:rPr>
        <w:t>înfiintate</w:t>
      </w:r>
      <w:proofErr w:type="spellEnd"/>
      <w:r w:rsidRPr="00923060">
        <w:rPr>
          <w:rFonts w:ascii="Arial" w:hAnsi="Arial" w:cs="Arial"/>
          <w:b/>
          <w:bCs/>
          <w:i/>
          <w:iCs/>
          <w:u w:val="single"/>
          <w:lang w:val="ro-RO"/>
        </w:rPr>
        <w:t xml:space="preserve">, nu vor viza domeniile exceptate de la schema de ajutor de </w:t>
      </w:r>
      <w:proofErr w:type="spellStart"/>
      <w:r w:rsidRPr="00923060">
        <w:rPr>
          <w:rFonts w:ascii="Arial" w:hAnsi="Arial" w:cs="Arial"/>
          <w:b/>
          <w:bCs/>
          <w:i/>
          <w:iCs/>
          <w:u w:val="single"/>
          <w:lang w:val="ro-RO"/>
        </w:rPr>
        <w:t>minimis</w:t>
      </w:r>
      <w:proofErr w:type="spellEnd"/>
      <w:r w:rsidRPr="00923060">
        <w:rPr>
          <w:rFonts w:ascii="Arial" w:hAnsi="Arial" w:cs="Arial"/>
          <w:b/>
          <w:bCs/>
          <w:i/>
          <w:iCs/>
          <w:u w:val="single"/>
          <w:lang w:val="ro-RO"/>
        </w:rPr>
        <w:t xml:space="preserve"> evidențiate mai sus.</w:t>
      </w:r>
    </w:p>
    <w:sectPr w:rsidR="0090058F" w:rsidRPr="00520B72" w:rsidSect="00C03921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B0DDA" w14:textId="77777777" w:rsidR="00635347" w:rsidRDefault="00635347" w:rsidP="00C03921">
      <w:pPr>
        <w:spacing w:after="0" w:line="240" w:lineRule="auto"/>
      </w:pPr>
      <w:r>
        <w:separator/>
      </w:r>
    </w:p>
  </w:endnote>
  <w:endnote w:type="continuationSeparator" w:id="0">
    <w:p w14:paraId="4D5A455F" w14:textId="77777777" w:rsidR="00635347" w:rsidRDefault="00635347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83CF" w14:textId="73C74B6E" w:rsidR="005C24BF" w:rsidRDefault="005C24BF" w:rsidP="005C24BF">
    <w:pPr>
      <w:pStyle w:val="Default"/>
      <w:ind w:left="-284"/>
      <w:jc w:val="center"/>
      <w:rPr>
        <w:rFonts w:ascii="Times New Roman" w:hAnsi="Times New Roman" w:cs="Times New Roman"/>
        <w:color w:val="auto"/>
        <w:sz w:val="20"/>
        <w:szCs w:val="20"/>
      </w:rPr>
    </w:pPr>
  </w:p>
  <w:p w14:paraId="2628E493" w14:textId="7D60BB22" w:rsidR="002A0D40" w:rsidRDefault="005C24BF" w:rsidP="002A0D40">
    <w:pPr>
      <w:pStyle w:val="Default"/>
      <w:ind w:left="-284"/>
      <w:jc w:val="center"/>
      <w:rPr>
        <w:rFonts w:ascii="Arial" w:hAnsi="Arial" w:cs="Arial"/>
        <w:color w:val="auto"/>
        <w:sz w:val="18"/>
        <w:szCs w:val="18"/>
      </w:rPr>
    </w:pPr>
    <w:r w:rsidRPr="005C24BF">
      <w:rPr>
        <w:rFonts w:ascii="Arial" w:hAnsi="Arial" w:cs="Arial"/>
        <w:color w:val="auto"/>
        <w:sz w:val="18"/>
        <w:szCs w:val="18"/>
      </w:rPr>
      <w:t xml:space="preserve">Cod SMIS: </w:t>
    </w:r>
    <w:r w:rsidR="00E8741D">
      <w:rPr>
        <w:rFonts w:ascii="Arial" w:hAnsi="Arial" w:cs="Arial"/>
        <w:color w:val="auto"/>
        <w:sz w:val="18"/>
        <w:szCs w:val="18"/>
      </w:rPr>
      <w:t>31</w:t>
    </w:r>
    <w:r w:rsidR="00143881">
      <w:rPr>
        <w:rFonts w:ascii="Arial" w:hAnsi="Arial" w:cs="Arial"/>
        <w:color w:val="auto"/>
        <w:sz w:val="18"/>
        <w:szCs w:val="18"/>
      </w:rPr>
      <w:t>20</w:t>
    </w:r>
    <w:r w:rsidR="00E8741D">
      <w:rPr>
        <w:rFonts w:ascii="Arial" w:hAnsi="Arial" w:cs="Arial"/>
        <w:color w:val="auto"/>
        <w:sz w:val="18"/>
        <w:szCs w:val="18"/>
      </w:rPr>
      <w:t>1</w:t>
    </w:r>
    <w:r w:rsidR="00143881">
      <w:rPr>
        <w:rFonts w:ascii="Arial" w:hAnsi="Arial" w:cs="Arial"/>
        <w:color w:val="auto"/>
        <w:sz w:val="18"/>
        <w:szCs w:val="18"/>
      </w:rPr>
      <w:t>2</w:t>
    </w:r>
  </w:p>
  <w:p w14:paraId="0D1A271B" w14:textId="1D78641B" w:rsidR="005C24BF" w:rsidRPr="005C24BF" w:rsidRDefault="005C24BF" w:rsidP="002A0D40">
    <w:pPr>
      <w:pStyle w:val="Default"/>
      <w:ind w:left="-284"/>
      <w:jc w:val="center"/>
      <w:rPr>
        <w:rFonts w:ascii="Arial" w:hAnsi="Arial" w:cs="Arial"/>
        <w:sz w:val="18"/>
        <w:szCs w:val="18"/>
      </w:rPr>
    </w:pPr>
    <w:r w:rsidRPr="005C24BF">
      <w:rPr>
        <w:rFonts w:ascii="Arial" w:hAnsi="Arial" w:cs="Arial"/>
        <w:sz w:val="18"/>
        <w:szCs w:val="18"/>
      </w:rPr>
      <w:t xml:space="preserve">Proiect: </w:t>
    </w:r>
    <w:r w:rsidR="00E8741D">
      <w:rPr>
        <w:rFonts w:ascii="Arial" w:hAnsi="Arial" w:cs="Arial"/>
        <w:sz w:val="18"/>
        <w:szCs w:val="18"/>
      </w:rPr>
      <w:t>„</w:t>
    </w:r>
    <w:proofErr w:type="spellStart"/>
    <w:r w:rsidR="00143881" w:rsidRPr="00143881">
      <w:rPr>
        <w:rFonts w:ascii="Arial" w:hAnsi="Arial" w:cs="Arial"/>
        <w:sz w:val="18"/>
        <w:szCs w:val="18"/>
      </w:rPr>
      <w:t>Intreprinderi</w:t>
    </w:r>
    <w:proofErr w:type="spellEnd"/>
    <w:r w:rsidR="00143881" w:rsidRPr="00143881">
      <w:rPr>
        <w:rFonts w:ascii="Arial" w:hAnsi="Arial" w:cs="Arial"/>
        <w:sz w:val="18"/>
        <w:szCs w:val="18"/>
      </w:rPr>
      <w:t xml:space="preserve"> sociale competitive in mediul urban din Regiunea Vest</w:t>
    </w:r>
    <w:r w:rsidR="00E8741D">
      <w:rPr>
        <w:rFonts w:ascii="Arial" w:hAnsi="Arial" w:cs="Arial"/>
        <w:sz w:val="18"/>
        <w:szCs w:val="18"/>
      </w:rPr>
      <w:t>”</w:t>
    </w:r>
  </w:p>
  <w:p w14:paraId="2D2827F2" w14:textId="77777777" w:rsidR="004C1712" w:rsidRPr="005C24BF" w:rsidRDefault="004C1712">
    <w:pPr>
      <w:pStyle w:val="Subsol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9A5FC" w14:textId="77777777" w:rsidR="00635347" w:rsidRDefault="00635347" w:rsidP="00C03921">
      <w:pPr>
        <w:spacing w:after="0" w:line="240" w:lineRule="auto"/>
      </w:pPr>
      <w:r>
        <w:separator/>
      </w:r>
    </w:p>
  </w:footnote>
  <w:footnote w:type="continuationSeparator" w:id="0">
    <w:p w14:paraId="2AB5A21C" w14:textId="77777777" w:rsidR="00635347" w:rsidRDefault="00635347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BC59" w14:textId="58DCF356" w:rsidR="00CC6FF5" w:rsidRDefault="008D2D05">
    <w:pPr>
      <w:pStyle w:val="Antet"/>
    </w:pPr>
    <w:r>
      <w:rPr>
        <w:noProof/>
      </w:rPr>
      <w:drawing>
        <wp:inline distT="0" distB="0" distL="0" distR="0" wp14:anchorId="64799FA2" wp14:editId="2E178F30">
          <wp:extent cx="6200775" cy="15621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267"/>
    <w:multiLevelType w:val="hybridMultilevel"/>
    <w:tmpl w:val="E85CBB52"/>
    <w:lvl w:ilvl="0" w:tplc="DAB4C9D0">
      <w:start w:val="1"/>
      <w:numFmt w:val="lowerRoman"/>
      <w:lvlText w:val="(%1)"/>
      <w:lvlJc w:val="right"/>
      <w:pPr>
        <w:ind w:left="1776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F91256"/>
    <w:multiLevelType w:val="hybridMultilevel"/>
    <w:tmpl w:val="49EEAFF4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035E"/>
    <w:multiLevelType w:val="hybridMultilevel"/>
    <w:tmpl w:val="D93E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66992"/>
    <w:multiLevelType w:val="hybridMultilevel"/>
    <w:tmpl w:val="0122B502"/>
    <w:lvl w:ilvl="0" w:tplc="C3343FF4">
      <w:start w:val="1"/>
      <w:numFmt w:val="lowerRoman"/>
      <w:lvlText w:val="(%1)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A7225"/>
    <w:multiLevelType w:val="hybridMultilevel"/>
    <w:tmpl w:val="3F062792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BF4680"/>
    <w:multiLevelType w:val="hybridMultilevel"/>
    <w:tmpl w:val="B114BFC6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73395"/>
    <w:multiLevelType w:val="hybridMultilevel"/>
    <w:tmpl w:val="2E746B0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6D2EDE"/>
    <w:multiLevelType w:val="hybridMultilevel"/>
    <w:tmpl w:val="205CB694"/>
    <w:lvl w:ilvl="0" w:tplc="9D80D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01150"/>
    <w:multiLevelType w:val="hybridMultilevel"/>
    <w:tmpl w:val="87D0BBD0"/>
    <w:lvl w:ilvl="0" w:tplc="EC32E396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E6A7D16"/>
    <w:multiLevelType w:val="hybridMultilevel"/>
    <w:tmpl w:val="05D2BE5C"/>
    <w:lvl w:ilvl="0" w:tplc="0000000C">
      <w:start w:val="1"/>
      <w:numFmt w:val="decimal"/>
      <w:lvlText w:val="(%1)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B15A9E"/>
    <w:multiLevelType w:val="hybridMultilevel"/>
    <w:tmpl w:val="F86020E6"/>
    <w:lvl w:ilvl="0" w:tplc="7766024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-430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-358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-286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-21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-14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-7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</w:abstractNum>
  <w:abstractNum w:abstractNumId="11" w15:restartNumberingAfterBreak="0">
    <w:nsid w:val="5AF35F0A"/>
    <w:multiLevelType w:val="hybridMultilevel"/>
    <w:tmpl w:val="87EE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A3E3D"/>
    <w:multiLevelType w:val="hybridMultilevel"/>
    <w:tmpl w:val="36C0DF42"/>
    <w:lvl w:ilvl="0" w:tplc="46CEAC0E">
      <w:start w:val="1"/>
      <w:numFmt w:val="bullet"/>
      <w:lvlText w:val="-"/>
      <w:lvlJc w:val="left"/>
      <w:pPr>
        <w:ind w:left="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0F55C14"/>
    <w:multiLevelType w:val="hybridMultilevel"/>
    <w:tmpl w:val="4ABC7E7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32369C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BD3863"/>
    <w:multiLevelType w:val="hybridMultilevel"/>
    <w:tmpl w:val="E7703AD2"/>
    <w:lvl w:ilvl="0" w:tplc="8D30E238">
      <w:start w:val="1"/>
      <w:numFmt w:val="decimal"/>
      <w:lvlText w:val="(%1)"/>
      <w:lvlJc w:val="left"/>
      <w:pPr>
        <w:ind w:left="720" w:hanging="360"/>
      </w:pPr>
      <w:rPr>
        <w:rFonts w:hint="default"/>
        <w:color w:val="323E4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C3316"/>
    <w:multiLevelType w:val="hybridMultilevel"/>
    <w:tmpl w:val="19FA1072"/>
    <w:lvl w:ilvl="0" w:tplc="941A3C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6" w15:restartNumberingAfterBreak="0">
    <w:nsid w:val="6BB83930"/>
    <w:multiLevelType w:val="hybridMultilevel"/>
    <w:tmpl w:val="6842270E"/>
    <w:lvl w:ilvl="0" w:tplc="9B52FF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C80F23"/>
    <w:multiLevelType w:val="hybridMultilevel"/>
    <w:tmpl w:val="DBCA7D3E"/>
    <w:lvl w:ilvl="0" w:tplc="0172D3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0955E16"/>
    <w:multiLevelType w:val="hybridMultilevel"/>
    <w:tmpl w:val="84789260"/>
    <w:lvl w:ilvl="0" w:tplc="9B52F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FDC6555"/>
    <w:multiLevelType w:val="hybridMultilevel"/>
    <w:tmpl w:val="4F4C87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9687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920273">
    <w:abstractNumId w:val="18"/>
  </w:num>
  <w:num w:numId="3" w16cid:durableId="1485243910">
    <w:abstractNumId w:val="17"/>
  </w:num>
  <w:num w:numId="4" w16cid:durableId="895699491">
    <w:abstractNumId w:val="10"/>
  </w:num>
  <w:num w:numId="5" w16cid:durableId="1812209003">
    <w:abstractNumId w:val="13"/>
  </w:num>
  <w:num w:numId="6" w16cid:durableId="1642076642">
    <w:abstractNumId w:val="19"/>
  </w:num>
  <w:num w:numId="7" w16cid:durableId="1963000343">
    <w:abstractNumId w:val="8"/>
  </w:num>
  <w:num w:numId="8" w16cid:durableId="1350763436">
    <w:abstractNumId w:val="7"/>
  </w:num>
  <w:num w:numId="9" w16cid:durableId="1881431134">
    <w:abstractNumId w:val="4"/>
  </w:num>
  <w:num w:numId="10" w16cid:durableId="657617663">
    <w:abstractNumId w:val="5"/>
  </w:num>
  <w:num w:numId="11" w16cid:durableId="2004622362">
    <w:abstractNumId w:val="1"/>
  </w:num>
  <w:num w:numId="12" w16cid:durableId="1307737652">
    <w:abstractNumId w:val="14"/>
  </w:num>
  <w:num w:numId="13" w16cid:durableId="1432776662">
    <w:abstractNumId w:val="11"/>
  </w:num>
  <w:num w:numId="14" w16cid:durableId="897593907">
    <w:abstractNumId w:val="6"/>
  </w:num>
  <w:num w:numId="15" w16cid:durableId="425002086">
    <w:abstractNumId w:val="16"/>
  </w:num>
  <w:num w:numId="16" w16cid:durableId="2050370787">
    <w:abstractNumId w:val="0"/>
  </w:num>
  <w:num w:numId="17" w16cid:durableId="791938944">
    <w:abstractNumId w:val="3"/>
  </w:num>
  <w:num w:numId="18" w16cid:durableId="2024285755">
    <w:abstractNumId w:val="9"/>
  </w:num>
  <w:num w:numId="19" w16cid:durableId="1172843356">
    <w:abstractNumId w:val="12"/>
  </w:num>
  <w:num w:numId="20" w16cid:durableId="1945651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21"/>
    <w:rsid w:val="0006196F"/>
    <w:rsid w:val="00072859"/>
    <w:rsid w:val="00074F21"/>
    <w:rsid w:val="000F5373"/>
    <w:rsid w:val="001105EE"/>
    <w:rsid w:val="00143881"/>
    <w:rsid w:val="00163A70"/>
    <w:rsid w:val="00182B49"/>
    <w:rsid w:val="001C001D"/>
    <w:rsid w:val="001E1FD8"/>
    <w:rsid w:val="001F0326"/>
    <w:rsid w:val="00224A9A"/>
    <w:rsid w:val="0029349B"/>
    <w:rsid w:val="002A0D40"/>
    <w:rsid w:val="00310041"/>
    <w:rsid w:val="00320F40"/>
    <w:rsid w:val="003722B6"/>
    <w:rsid w:val="003F0F5A"/>
    <w:rsid w:val="00407032"/>
    <w:rsid w:val="004138E1"/>
    <w:rsid w:val="0044333A"/>
    <w:rsid w:val="004661B0"/>
    <w:rsid w:val="00477CE4"/>
    <w:rsid w:val="004B6180"/>
    <w:rsid w:val="004C1712"/>
    <w:rsid w:val="00520B72"/>
    <w:rsid w:val="00542B3B"/>
    <w:rsid w:val="005C24BF"/>
    <w:rsid w:val="005D5991"/>
    <w:rsid w:val="005E4C6D"/>
    <w:rsid w:val="00635347"/>
    <w:rsid w:val="00666EC2"/>
    <w:rsid w:val="00720E8E"/>
    <w:rsid w:val="007357DF"/>
    <w:rsid w:val="00794DA7"/>
    <w:rsid w:val="008A15D9"/>
    <w:rsid w:val="008C0B5C"/>
    <w:rsid w:val="008D2D05"/>
    <w:rsid w:val="0090058F"/>
    <w:rsid w:val="009066F7"/>
    <w:rsid w:val="00A013DA"/>
    <w:rsid w:val="00A534B9"/>
    <w:rsid w:val="00A61946"/>
    <w:rsid w:val="00A75404"/>
    <w:rsid w:val="00A96493"/>
    <w:rsid w:val="00AC0FD2"/>
    <w:rsid w:val="00AE5056"/>
    <w:rsid w:val="00B106C4"/>
    <w:rsid w:val="00B5253F"/>
    <w:rsid w:val="00B57B27"/>
    <w:rsid w:val="00B93E69"/>
    <w:rsid w:val="00C03921"/>
    <w:rsid w:val="00C133BB"/>
    <w:rsid w:val="00C30191"/>
    <w:rsid w:val="00C37283"/>
    <w:rsid w:val="00C77711"/>
    <w:rsid w:val="00C93B17"/>
    <w:rsid w:val="00CC6FF5"/>
    <w:rsid w:val="00D01832"/>
    <w:rsid w:val="00D13010"/>
    <w:rsid w:val="00D21A60"/>
    <w:rsid w:val="00DA2632"/>
    <w:rsid w:val="00DC5639"/>
    <w:rsid w:val="00E21212"/>
    <w:rsid w:val="00E33BF5"/>
    <w:rsid w:val="00E4329D"/>
    <w:rsid w:val="00E503BC"/>
    <w:rsid w:val="00E8741D"/>
    <w:rsid w:val="00F94015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98AD5"/>
  <w15:docId w15:val="{E78476F0-A920-440D-ADB6-4D1A3961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val="en-GB" w:eastAsia="en-US"/>
    </w:rPr>
  </w:style>
  <w:style w:type="paragraph" w:styleId="Titlu1">
    <w:name w:val="heading 1"/>
    <w:basedOn w:val="Normal"/>
    <w:next w:val="Normal"/>
    <w:link w:val="Titlu1Caracter"/>
    <w:qFormat/>
    <w:locked/>
    <w:rsid w:val="00DC5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FA447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ntet">
    <w:name w:val="header"/>
    <w:basedOn w:val="Normal"/>
    <w:link w:val="AntetCaracte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C03921"/>
    <w:rPr>
      <w:rFonts w:cs="Times New Roman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aliases w:val=" Car Car Car1 Car Char Char Car Car Char Char Caracter"/>
    <w:link w:val="Subsol"/>
    <w:uiPriority w:val="99"/>
    <w:locked/>
    <w:rsid w:val="00C0392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link w:val="Titlu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ng-binding">
    <w:name w:val="ng-binding"/>
    <w:rsid w:val="00C37283"/>
  </w:style>
  <w:style w:type="paragraph" w:customStyle="1" w:styleId="Default">
    <w:name w:val="Default"/>
    <w:uiPriority w:val="99"/>
    <w:rsid w:val="004C17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8D2D05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rsid w:val="00DC56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styleId="Textnotdesubsol">
    <w:name w:val="footnote text"/>
    <w:aliases w:val="Footnote Text Char Char,Fußnote,single space,FOOTNOTES,fn,Podrozdział,Footnote,fn Char Char Char,fn Char Char,fn Char,Fußnote Char Char Char,Fußnote Char,Fußnote Char Char Char Char,stile 1,Footnote1,ft,Footnote2,Footnote3,Footnote4"/>
    <w:basedOn w:val="Normal"/>
    <w:link w:val="TextnotdesubsolCaracter"/>
    <w:uiPriority w:val="99"/>
    <w:unhideWhenUsed/>
    <w:rsid w:val="00DC563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ootnote Caracter,fn Char Char Char Caracter,fn Char Char Caracter,fn Char Caracter,stile 1 Caracter"/>
    <w:basedOn w:val="Fontdeparagrafimplicit"/>
    <w:link w:val="Textnotdesubsol"/>
    <w:uiPriority w:val="99"/>
    <w:rsid w:val="00DC5639"/>
    <w:rPr>
      <w:rFonts w:asciiTheme="minorHAnsi" w:eastAsiaTheme="minorHAnsi" w:hAnsiTheme="minorHAnsi" w:cstheme="minorBidi"/>
      <w:lang w:eastAsia="en-US"/>
    </w:rPr>
  </w:style>
  <w:style w:type="character" w:styleId="Referinnotdesubsol">
    <w:name w:val="footnote reference"/>
    <w:aliases w:val="Footnote symbol,Footnote Reference Number,Char1,Ref,de nota al pie,16 Point,Superscript 6 Point,Footnote Reference_LVL6,Footnote Reference_LVL61,Footnote Reference_LVL62,Footnote Reference_LVL63,Footnote Reference_LVL64,BVI fnr"/>
    <w:basedOn w:val="Fontdeparagrafimplicit"/>
    <w:uiPriority w:val="99"/>
    <w:unhideWhenUsed/>
    <w:rsid w:val="00DC5639"/>
    <w:rPr>
      <w:vertAlign w:val="superscript"/>
    </w:rPr>
  </w:style>
  <w:style w:type="character" w:customStyle="1" w:styleId="Bodytext">
    <w:name w:val="Body text_"/>
    <w:link w:val="BodyText3"/>
    <w:locked/>
    <w:rsid w:val="00DC5639"/>
    <w:rPr>
      <w:shd w:val="clear" w:color="auto" w:fill="FFFFFF"/>
    </w:rPr>
  </w:style>
  <w:style w:type="paragraph" w:customStyle="1" w:styleId="BodyText3">
    <w:name w:val="Body Text3"/>
    <w:basedOn w:val="Normal"/>
    <w:link w:val="Bodytext"/>
    <w:rsid w:val="00DC5639"/>
    <w:pPr>
      <w:shd w:val="clear" w:color="auto" w:fill="FFFFFF"/>
      <w:spacing w:before="180" w:after="60" w:line="269" w:lineRule="exact"/>
      <w:ind w:hanging="360"/>
      <w:jc w:val="both"/>
    </w:pPr>
    <w:rPr>
      <w:rFonts w:eastAsia="Calibri"/>
      <w:sz w:val="20"/>
      <w:szCs w:val="20"/>
      <w:lang w:val="ro-RO" w:eastAsia="ro-RO"/>
    </w:rPr>
  </w:style>
  <w:style w:type="paragraph" w:styleId="Listparagraf">
    <w:name w:val="List Paragraph"/>
    <w:aliases w:val="Normal bullet 2,List Paragraph1,Listă colorată - Accentuare 11,body 2,List Paragraph11,List Paragraph111"/>
    <w:basedOn w:val="Normal"/>
    <w:link w:val="ListparagrafCaracter"/>
    <w:uiPriority w:val="34"/>
    <w:qFormat/>
    <w:rsid w:val="004661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"/>
    <w:link w:val="Listparagraf"/>
    <w:uiPriority w:val="34"/>
    <w:locked/>
    <w:rsid w:val="004661B0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spar">
    <w:name w:val="s_par"/>
    <w:basedOn w:val="Fontdeparagrafimplicit"/>
    <w:rsid w:val="0046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5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DECLARAŢIE DE CONSIMŢĂMÂNT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Alex Buzzi</cp:lastModifiedBy>
  <cp:revision>2</cp:revision>
  <cp:lastPrinted>2018-02-01T09:40:00Z</cp:lastPrinted>
  <dcterms:created xsi:type="dcterms:W3CDTF">2025-04-03T11:23:00Z</dcterms:created>
  <dcterms:modified xsi:type="dcterms:W3CDTF">2025-04-03T11:23:00Z</dcterms:modified>
</cp:coreProperties>
</file>